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4A" w:rsidRPr="00F53C4A" w:rsidRDefault="00F53C4A" w:rsidP="00F53C4A">
      <w:pPr>
        <w:spacing w:after="0" w:line="240" w:lineRule="auto"/>
        <w:rPr>
          <w:rFonts w:ascii="Arial" w:eastAsia="Times New Roman" w:hAnsi="Arial" w:cs="Arial"/>
          <w:color w:val="333333"/>
          <w:sz w:val="15"/>
          <w:szCs w:val="15"/>
          <w:lang w:val="en" w:eastAsia="en-GB"/>
        </w:rPr>
      </w:pPr>
      <w:r w:rsidRPr="00F53C4A">
        <w:rPr>
          <w:rFonts w:ascii="Arial" w:eastAsia="Times New Roman" w:hAnsi="Arial" w:cs="Arial"/>
          <w:i/>
          <w:iCs/>
          <w:color w:val="333333"/>
          <w:sz w:val="15"/>
          <w:szCs w:val="15"/>
          <w:lang w:val="en" w:eastAsia="en-GB"/>
        </w:rPr>
        <w:t>Heart</w:t>
      </w:r>
      <w:r w:rsidRPr="00F53C4A">
        <w:rPr>
          <w:rFonts w:ascii="Arial" w:eastAsia="Times New Roman" w:hAnsi="Arial" w:cs="Arial"/>
          <w:color w:val="333333"/>
          <w:sz w:val="15"/>
          <w:szCs w:val="15"/>
          <w:lang w:val="en" w:eastAsia="en-GB"/>
        </w:rPr>
        <w:t xml:space="preserve"> 2010</w:t>
      </w:r>
      <w:proofErr w:type="gramStart"/>
      <w:r w:rsidRPr="00F53C4A">
        <w:rPr>
          <w:rFonts w:ascii="Arial" w:eastAsia="Times New Roman" w:hAnsi="Arial" w:cs="Arial"/>
          <w:color w:val="333333"/>
          <w:sz w:val="15"/>
          <w:szCs w:val="15"/>
          <w:lang w:val="en" w:eastAsia="en-GB"/>
        </w:rPr>
        <w:t>;</w:t>
      </w:r>
      <w:r w:rsidRPr="00F53C4A">
        <w:rPr>
          <w:rFonts w:ascii="Arial" w:eastAsia="Times New Roman" w:hAnsi="Arial" w:cs="Arial"/>
          <w:b/>
          <w:bCs/>
          <w:color w:val="333333"/>
          <w:sz w:val="15"/>
          <w:szCs w:val="15"/>
          <w:lang w:val="en" w:eastAsia="en-GB"/>
        </w:rPr>
        <w:t>96</w:t>
      </w:r>
      <w:r w:rsidRPr="00F53C4A">
        <w:rPr>
          <w:rFonts w:ascii="Arial" w:eastAsia="Times New Roman" w:hAnsi="Arial" w:cs="Arial"/>
          <w:color w:val="333333"/>
          <w:sz w:val="15"/>
          <w:szCs w:val="15"/>
          <w:lang w:val="en" w:eastAsia="en-GB"/>
        </w:rPr>
        <w:t>:A16</w:t>
      </w:r>
      <w:proofErr w:type="gramEnd"/>
      <w:r w:rsidRPr="00F53C4A">
        <w:rPr>
          <w:rFonts w:ascii="Arial" w:eastAsia="Times New Roman" w:hAnsi="Arial" w:cs="Arial"/>
          <w:color w:val="333333"/>
          <w:sz w:val="15"/>
          <w:szCs w:val="15"/>
          <w:lang w:val="en" w:eastAsia="en-GB"/>
        </w:rPr>
        <w:t xml:space="preserve">-A17; doi:10.1136/hrt.2010.195941.24 </w:t>
      </w:r>
    </w:p>
    <w:p w:rsidR="00F53C4A" w:rsidRPr="00F53C4A" w:rsidRDefault="00F53C4A" w:rsidP="00F53C4A">
      <w:pPr>
        <w:spacing w:after="0" w:line="240" w:lineRule="auto"/>
        <w:rPr>
          <w:rFonts w:ascii="Arial" w:eastAsia="Times New Roman" w:hAnsi="Arial" w:cs="Arial"/>
          <w:vanish/>
          <w:color w:val="333333"/>
          <w:sz w:val="15"/>
          <w:szCs w:val="15"/>
          <w:lang w:val="en" w:eastAsia="en-GB"/>
        </w:rPr>
      </w:pPr>
      <w:r w:rsidRPr="00F53C4A">
        <w:rPr>
          <w:rFonts w:ascii="Arial" w:eastAsia="Times New Roman" w:hAnsi="Arial" w:cs="Arial"/>
          <w:vanish/>
          <w:color w:val="333333"/>
          <w:sz w:val="15"/>
          <w:szCs w:val="15"/>
          <w:lang w:val="en" w:eastAsia="en-GB"/>
        </w:rPr>
        <w:t>Copyright © 2010 by BMJ Publishing Group Ltd.</w:t>
      </w:r>
    </w:p>
    <w:p w:rsidR="00F53C4A" w:rsidRPr="00F53C4A" w:rsidRDefault="00F53C4A" w:rsidP="00F53C4A">
      <w:pPr>
        <w:spacing w:before="225" w:after="30" w:line="271" w:lineRule="atLeast"/>
        <w:outlineLvl w:val="1"/>
        <w:rPr>
          <w:rFonts w:ascii="Arial" w:eastAsia="Times New Roman" w:hAnsi="Arial" w:cs="Arial"/>
          <w:b/>
          <w:bCs/>
          <w:color w:val="333333"/>
          <w:kern w:val="36"/>
          <w:sz w:val="32"/>
          <w:szCs w:val="32"/>
          <w:lang w:val="en" w:eastAsia="en-GB"/>
        </w:rPr>
      </w:pPr>
      <w:r w:rsidRPr="00F53C4A">
        <w:rPr>
          <w:rFonts w:ascii="Arial" w:eastAsia="Times New Roman" w:hAnsi="Arial" w:cs="Arial"/>
          <w:b/>
          <w:bCs/>
          <w:color w:val="333333"/>
          <w:kern w:val="36"/>
          <w:sz w:val="32"/>
          <w:szCs w:val="32"/>
          <w:lang w:val="en" w:eastAsia="en-GB"/>
        </w:rPr>
        <w:t>BCS Abstracts 2010</w:t>
      </w:r>
    </w:p>
    <w:p w:rsidR="00F53C4A" w:rsidRPr="00F53C4A" w:rsidRDefault="00F53C4A" w:rsidP="00F53C4A">
      <w:pPr>
        <w:spacing w:after="0" w:line="240" w:lineRule="auto"/>
        <w:rPr>
          <w:rFonts w:ascii="Arial" w:eastAsia="Times New Roman" w:hAnsi="Arial" w:cs="Arial"/>
          <w:color w:val="333333"/>
          <w:sz w:val="15"/>
          <w:szCs w:val="15"/>
          <w:lang w:val="en" w:eastAsia="en-GB"/>
        </w:rPr>
      </w:pPr>
      <w:r w:rsidRPr="00F53C4A">
        <w:rPr>
          <w:rFonts w:ascii="Arial" w:eastAsia="Times New Roman" w:hAnsi="Arial" w:cs="Arial"/>
          <w:color w:val="333333"/>
          <w:sz w:val="15"/>
          <w:szCs w:val="15"/>
          <w:lang w:val="en" w:eastAsia="en-GB"/>
        </w:rPr>
        <w:t xml:space="preserve">Abstract </w:t>
      </w:r>
    </w:p>
    <w:p w:rsidR="00F53C4A" w:rsidRPr="00F53C4A" w:rsidRDefault="00F53C4A" w:rsidP="00F53C4A">
      <w:pPr>
        <w:spacing w:before="225" w:after="30" w:line="360" w:lineRule="atLeast"/>
        <w:outlineLvl w:val="3"/>
        <w:rPr>
          <w:rFonts w:ascii="Arial" w:eastAsia="Times New Roman" w:hAnsi="Arial" w:cs="Arial"/>
          <w:b/>
          <w:bCs/>
          <w:color w:val="333333"/>
          <w:sz w:val="24"/>
          <w:szCs w:val="24"/>
          <w:lang w:val="en" w:eastAsia="en-GB"/>
        </w:rPr>
      </w:pPr>
      <w:r w:rsidRPr="00F53C4A">
        <w:rPr>
          <w:rFonts w:ascii="Arial" w:eastAsia="Times New Roman" w:hAnsi="Arial" w:cs="Arial"/>
          <w:b/>
          <w:bCs/>
          <w:color w:val="333333"/>
          <w:sz w:val="24"/>
          <w:szCs w:val="24"/>
          <w:lang w:val="en" w:eastAsia="en-GB"/>
        </w:rPr>
        <w:t xml:space="preserve">024 Making anti-thrombotic bypass vessels from selected populations of vascular smooth muscle cells </w:t>
      </w:r>
    </w:p>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r w:rsidRPr="00F53C4A">
        <w:rPr>
          <w:rFonts w:ascii="Arial" w:eastAsia="Times New Roman" w:hAnsi="Arial" w:cs="Arial"/>
          <w:color w:val="333333"/>
          <w:sz w:val="18"/>
          <w:szCs w:val="18"/>
          <w:lang w:val="en" w:eastAsia="en-GB"/>
        </w:rPr>
        <w:t xml:space="preserve">A </w:t>
      </w:r>
      <w:proofErr w:type="spellStart"/>
      <w:r w:rsidRPr="00F53C4A">
        <w:rPr>
          <w:rFonts w:ascii="Arial" w:eastAsia="Times New Roman" w:hAnsi="Arial" w:cs="Arial"/>
          <w:color w:val="333333"/>
          <w:sz w:val="18"/>
          <w:szCs w:val="18"/>
          <w:lang w:val="en" w:eastAsia="en-GB"/>
        </w:rPr>
        <w:t>A</w:t>
      </w:r>
      <w:proofErr w:type="spellEnd"/>
      <w:r w:rsidRPr="00F53C4A">
        <w:rPr>
          <w:rFonts w:ascii="Arial" w:eastAsia="Times New Roman" w:hAnsi="Arial" w:cs="Arial"/>
          <w:color w:val="333333"/>
          <w:sz w:val="18"/>
          <w:szCs w:val="18"/>
          <w:lang w:val="en" w:eastAsia="en-GB"/>
        </w:rPr>
        <w:t xml:space="preserve"> Dhanji</w:t>
      </w:r>
      <w:r w:rsidRPr="00F53C4A">
        <w:rPr>
          <w:rFonts w:ascii="Arial" w:eastAsia="Times New Roman" w:hAnsi="Arial" w:cs="Arial"/>
          <w:b/>
          <w:bCs/>
          <w:color w:val="333333"/>
          <w:sz w:val="15"/>
          <w:szCs w:val="15"/>
          <w:vertAlign w:val="superscript"/>
          <w:lang w:val="en" w:eastAsia="en-GB"/>
        </w:rPr>
        <w:t>1</w:t>
      </w:r>
      <w:r w:rsidRPr="00F53C4A">
        <w:rPr>
          <w:rFonts w:ascii="Arial" w:eastAsia="Times New Roman" w:hAnsi="Arial" w:cs="Arial"/>
          <w:color w:val="333333"/>
          <w:sz w:val="18"/>
          <w:szCs w:val="18"/>
          <w:lang w:val="en" w:eastAsia="en-GB"/>
        </w:rPr>
        <w:t>, F Y Ali</w:t>
      </w:r>
      <w:r w:rsidRPr="00F53C4A">
        <w:rPr>
          <w:rFonts w:ascii="Arial" w:eastAsia="Times New Roman" w:hAnsi="Arial" w:cs="Arial"/>
          <w:b/>
          <w:bCs/>
          <w:color w:val="333333"/>
          <w:sz w:val="15"/>
          <w:szCs w:val="15"/>
          <w:vertAlign w:val="superscript"/>
          <w:lang w:val="en" w:eastAsia="en-GB"/>
        </w:rPr>
        <w:t>1</w:t>
      </w:r>
      <w:r w:rsidRPr="00F53C4A">
        <w:rPr>
          <w:rFonts w:ascii="Arial" w:eastAsia="Times New Roman" w:hAnsi="Arial" w:cs="Arial"/>
          <w:color w:val="333333"/>
          <w:sz w:val="18"/>
          <w:szCs w:val="18"/>
          <w:lang w:val="en" w:eastAsia="en-GB"/>
        </w:rPr>
        <w:t>, L S Harrington</w:t>
      </w:r>
      <w:r w:rsidRPr="00F53C4A">
        <w:rPr>
          <w:rFonts w:ascii="Arial" w:eastAsia="Times New Roman" w:hAnsi="Arial" w:cs="Arial"/>
          <w:b/>
          <w:bCs/>
          <w:color w:val="333333"/>
          <w:sz w:val="15"/>
          <w:szCs w:val="15"/>
          <w:vertAlign w:val="superscript"/>
          <w:lang w:val="en" w:eastAsia="en-GB"/>
        </w:rPr>
        <w:t>2</w:t>
      </w:r>
      <w:r w:rsidRPr="00F53C4A">
        <w:rPr>
          <w:rFonts w:ascii="Arial" w:eastAsia="Times New Roman" w:hAnsi="Arial" w:cs="Arial"/>
          <w:color w:val="333333"/>
          <w:sz w:val="18"/>
          <w:szCs w:val="18"/>
          <w:lang w:val="en" w:eastAsia="en-GB"/>
        </w:rPr>
        <w:t>, A Shipolini</w:t>
      </w:r>
      <w:r w:rsidRPr="00F53C4A">
        <w:rPr>
          <w:rFonts w:ascii="Arial" w:eastAsia="Times New Roman" w:hAnsi="Arial" w:cs="Arial"/>
          <w:b/>
          <w:bCs/>
          <w:color w:val="333333"/>
          <w:sz w:val="15"/>
          <w:szCs w:val="15"/>
          <w:vertAlign w:val="superscript"/>
          <w:lang w:val="en" w:eastAsia="en-GB"/>
        </w:rPr>
        <w:t>3</w:t>
      </w:r>
      <w:r w:rsidRPr="00F53C4A">
        <w:rPr>
          <w:rFonts w:ascii="Arial" w:eastAsia="Times New Roman" w:hAnsi="Arial" w:cs="Arial"/>
          <w:color w:val="333333"/>
          <w:sz w:val="18"/>
          <w:szCs w:val="18"/>
          <w:lang w:val="en" w:eastAsia="en-GB"/>
        </w:rPr>
        <w:t>, J A Mitchell</w:t>
      </w:r>
      <w:r w:rsidRPr="00F53C4A">
        <w:rPr>
          <w:rFonts w:ascii="Arial" w:eastAsia="Times New Roman" w:hAnsi="Arial" w:cs="Arial"/>
          <w:b/>
          <w:bCs/>
          <w:color w:val="333333"/>
          <w:sz w:val="15"/>
          <w:szCs w:val="15"/>
          <w:vertAlign w:val="superscript"/>
          <w:lang w:val="en" w:eastAsia="en-GB"/>
        </w:rPr>
        <w:t>2</w:t>
      </w:r>
      <w:r w:rsidRPr="00F53C4A">
        <w:rPr>
          <w:rFonts w:ascii="Arial" w:eastAsia="Times New Roman" w:hAnsi="Arial" w:cs="Arial"/>
          <w:color w:val="333333"/>
          <w:sz w:val="18"/>
          <w:szCs w:val="18"/>
          <w:lang w:val="en" w:eastAsia="en-GB"/>
        </w:rPr>
        <w:t>, T D Warner</w:t>
      </w:r>
      <w:r w:rsidRPr="00F53C4A">
        <w:rPr>
          <w:rFonts w:ascii="Arial" w:eastAsia="Times New Roman" w:hAnsi="Arial" w:cs="Arial"/>
          <w:b/>
          <w:bCs/>
          <w:color w:val="333333"/>
          <w:sz w:val="15"/>
          <w:szCs w:val="15"/>
          <w:vertAlign w:val="superscript"/>
          <w:lang w:val="en" w:eastAsia="en-GB"/>
        </w:rPr>
        <w:t>1</w:t>
      </w:r>
    </w:p>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r w:rsidRPr="00F53C4A">
        <w:rPr>
          <w:rFonts w:ascii="Arial" w:eastAsia="Times New Roman" w:hAnsi="Arial" w:cs="Arial"/>
          <w:color w:val="333333"/>
          <w:sz w:val="15"/>
          <w:szCs w:val="15"/>
          <w:vertAlign w:val="superscript"/>
          <w:lang w:val="en" w:eastAsia="en-GB"/>
        </w:rPr>
        <w:t>1</w:t>
      </w:r>
      <w:r w:rsidRPr="00F53C4A">
        <w:rPr>
          <w:rFonts w:ascii="Arial" w:eastAsia="Times New Roman" w:hAnsi="Arial" w:cs="Arial"/>
          <w:color w:val="333333"/>
          <w:sz w:val="18"/>
          <w:szCs w:val="18"/>
          <w:lang w:val="en" w:eastAsia="en-GB"/>
        </w:rPr>
        <w:t xml:space="preserve"> </w:t>
      </w:r>
      <w:proofErr w:type="spellStart"/>
      <w:r w:rsidRPr="00F53C4A">
        <w:rPr>
          <w:rFonts w:ascii="Arial" w:eastAsia="Times New Roman" w:hAnsi="Arial" w:cs="Arial"/>
          <w:color w:val="333333"/>
          <w:sz w:val="18"/>
          <w:szCs w:val="18"/>
          <w:lang w:val="en" w:eastAsia="en-GB"/>
        </w:rPr>
        <w:t>Barts</w:t>
      </w:r>
      <w:proofErr w:type="spellEnd"/>
      <w:r w:rsidRPr="00F53C4A">
        <w:rPr>
          <w:rFonts w:ascii="Arial" w:eastAsia="Times New Roman" w:hAnsi="Arial" w:cs="Arial"/>
          <w:color w:val="333333"/>
          <w:sz w:val="18"/>
          <w:szCs w:val="18"/>
          <w:lang w:val="en" w:eastAsia="en-GB"/>
        </w:rPr>
        <w:t xml:space="preserve"> and </w:t>
      </w:r>
      <w:proofErr w:type="gramStart"/>
      <w:r w:rsidRPr="00F53C4A">
        <w:rPr>
          <w:rFonts w:ascii="Arial" w:eastAsia="Times New Roman" w:hAnsi="Arial" w:cs="Arial"/>
          <w:color w:val="333333"/>
          <w:sz w:val="18"/>
          <w:szCs w:val="18"/>
          <w:lang w:val="en" w:eastAsia="en-GB"/>
        </w:rPr>
        <w:t>The</w:t>
      </w:r>
      <w:proofErr w:type="gramEnd"/>
      <w:r w:rsidRPr="00F53C4A">
        <w:rPr>
          <w:rFonts w:ascii="Arial" w:eastAsia="Times New Roman" w:hAnsi="Arial" w:cs="Arial"/>
          <w:color w:val="333333"/>
          <w:sz w:val="18"/>
          <w:szCs w:val="18"/>
          <w:lang w:val="en" w:eastAsia="en-GB"/>
        </w:rPr>
        <w:t xml:space="preserve"> London School of Medicine and Dentistry, London, UK</w:t>
      </w:r>
      <w:r w:rsidRPr="00F53C4A">
        <w:rPr>
          <w:rFonts w:ascii="Arial" w:eastAsia="Times New Roman" w:hAnsi="Arial" w:cs="Arial"/>
          <w:color w:val="333333"/>
          <w:sz w:val="18"/>
          <w:szCs w:val="18"/>
          <w:lang w:val="en" w:eastAsia="en-GB"/>
        </w:rPr>
        <w:br/>
      </w:r>
      <w:r w:rsidRPr="00F53C4A">
        <w:rPr>
          <w:rFonts w:ascii="Arial" w:eastAsia="Times New Roman" w:hAnsi="Arial" w:cs="Arial"/>
          <w:color w:val="333333"/>
          <w:sz w:val="15"/>
          <w:szCs w:val="15"/>
          <w:vertAlign w:val="superscript"/>
          <w:lang w:val="en" w:eastAsia="en-GB"/>
        </w:rPr>
        <w:t>2</w:t>
      </w:r>
      <w:r w:rsidRPr="00F53C4A">
        <w:rPr>
          <w:rFonts w:ascii="Arial" w:eastAsia="Times New Roman" w:hAnsi="Arial" w:cs="Arial"/>
          <w:color w:val="333333"/>
          <w:sz w:val="18"/>
          <w:szCs w:val="18"/>
          <w:lang w:val="en" w:eastAsia="en-GB"/>
        </w:rPr>
        <w:t xml:space="preserve"> National Heart and Lung Institute, London, UK</w:t>
      </w:r>
      <w:r w:rsidRPr="00F53C4A">
        <w:rPr>
          <w:rFonts w:ascii="Arial" w:eastAsia="Times New Roman" w:hAnsi="Arial" w:cs="Arial"/>
          <w:color w:val="333333"/>
          <w:sz w:val="18"/>
          <w:szCs w:val="18"/>
          <w:lang w:val="en" w:eastAsia="en-GB"/>
        </w:rPr>
        <w:br/>
      </w:r>
      <w:r w:rsidRPr="00F53C4A">
        <w:rPr>
          <w:rFonts w:ascii="Arial" w:eastAsia="Times New Roman" w:hAnsi="Arial" w:cs="Arial"/>
          <w:color w:val="333333"/>
          <w:sz w:val="15"/>
          <w:szCs w:val="15"/>
          <w:vertAlign w:val="superscript"/>
          <w:lang w:val="en" w:eastAsia="en-GB"/>
        </w:rPr>
        <w:t>3</w:t>
      </w:r>
      <w:r w:rsidRPr="00F53C4A">
        <w:rPr>
          <w:rFonts w:ascii="Arial" w:eastAsia="Times New Roman" w:hAnsi="Arial" w:cs="Arial"/>
          <w:color w:val="333333"/>
          <w:sz w:val="18"/>
          <w:szCs w:val="18"/>
          <w:lang w:val="en" w:eastAsia="en-GB"/>
        </w:rPr>
        <w:t xml:space="preserve"> </w:t>
      </w:r>
      <w:proofErr w:type="spellStart"/>
      <w:r w:rsidRPr="00F53C4A">
        <w:rPr>
          <w:rFonts w:ascii="Arial" w:eastAsia="Times New Roman" w:hAnsi="Arial" w:cs="Arial"/>
          <w:color w:val="333333"/>
          <w:sz w:val="18"/>
          <w:szCs w:val="18"/>
          <w:lang w:val="en" w:eastAsia="en-GB"/>
        </w:rPr>
        <w:t>Barts</w:t>
      </w:r>
      <w:proofErr w:type="spellEnd"/>
      <w:r w:rsidRPr="00F53C4A">
        <w:rPr>
          <w:rFonts w:ascii="Arial" w:eastAsia="Times New Roman" w:hAnsi="Arial" w:cs="Arial"/>
          <w:color w:val="333333"/>
          <w:sz w:val="18"/>
          <w:szCs w:val="18"/>
          <w:lang w:val="en" w:eastAsia="en-GB"/>
        </w:rPr>
        <w:t xml:space="preserve"> and The London NHS Trust, London, UK </w:t>
      </w:r>
    </w:p>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r w:rsidRPr="00F53C4A">
        <w:rPr>
          <w:rFonts w:ascii="Arial" w:eastAsia="Times New Roman" w:hAnsi="Arial" w:cs="Arial"/>
          <w:b/>
          <w:bCs/>
          <w:color w:val="333333"/>
          <w:sz w:val="18"/>
          <w:szCs w:val="18"/>
          <w:lang w:val="en" w:eastAsia="en-GB"/>
        </w:rPr>
        <w:t xml:space="preserve">Objectives: </w:t>
      </w:r>
      <w:r w:rsidRPr="00F53C4A">
        <w:rPr>
          <w:rFonts w:ascii="Arial" w:eastAsia="Times New Roman" w:hAnsi="Arial" w:cs="Arial"/>
          <w:color w:val="333333"/>
          <w:sz w:val="18"/>
          <w:szCs w:val="18"/>
          <w:lang w:val="en" w:eastAsia="en-GB"/>
        </w:rPr>
        <w:t xml:space="preserve">Vein grafts are commonly used for coronary artery bypass surgery but poor long-term patency and high failure rate make the idea of ‘designer’ bypass vessels attractive. Here we have investigated the possibility of forming bypass vessels from populations of vascular smooth muscle cells (VSMCs) selected for their anti-thrombotic potential. </w:t>
      </w:r>
    </w:p>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r w:rsidRPr="00F53C4A">
        <w:rPr>
          <w:rFonts w:ascii="Arial" w:eastAsia="Times New Roman" w:hAnsi="Arial" w:cs="Arial"/>
          <w:b/>
          <w:bCs/>
          <w:color w:val="333333"/>
          <w:sz w:val="18"/>
          <w:szCs w:val="18"/>
          <w:lang w:val="en" w:eastAsia="en-GB"/>
        </w:rPr>
        <w:t xml:space="preserve">Methods: </w:t>
      </w:r>
      <w:r w:rsidRPr="00F53C4A">
        <w:rPr>
          <w:rFonts w:ascii="Arial" w:eastAsia="Times New Roman" w:hAnsi="Arial" w:cs="Arial"/>
          <w:color w:val="333333"/>
          <w:sz w:val="18"/>
          <w:szCs w:val="18"/>
          <w:lang w:val="en" w:eastAsia="en-GB"/>
        </w:rPr>
        <w:t xml:space="preserve">Clonal populations of rat VSMCs were derived and </w:t>
      </w:r>
      <w:proofErr w:type="spellStart"/>
      <w:r w:rsidRPr="00F53C4A">
        <w:rPr>
          <w:rFonts w:ascii="Arial" w:eastAsia="Times New Roman" w:hAnsi="Arial" w:cs="Arial"/>
          <w:color w:val="333333"/>
          <w:sz w:val="18"/>
          <w:szCs w:val="18"/>
          <w:lang w:val="en" w:eastAsia="en-GB"/>
        </w:rPr>
        <w:t>characterised</w:t>
      </w:r>
      <w:proofErr w:type="spellEnd"/>
      <w:r w:rsidRPr="00F53C4A">
        <w:rPr>
          <w:rFonts w:ascii="Arial" w:eastAsia="Times New Roman" w:hAnsi="Arial" w:cs="Arial"/>
          <w:color w:val="333333"/>
          <w:sz w:val="18"/>
          <w:szCs w:val="18"/>
          <w:lang w:val="en" w:eastAsia="en-GB"/>
        </w:rPr>
        <w:t xml:space="preserve"> for their morphology, protein expression and mediator production. Selected cells were also seeded into vascular scaffolds derived by </w:t>
      </w:r>
      <w:proofErr w:type="spellStart"/>
      <w:r w:rsidRPr="00F53C4A">
        <w:rPr>
          <w:rFonts w:ascii="Arial" w:eastAsia="Times New Roman" w:hAnsi="Arial" w:cs="Arial"/>
          <w:color w:val="333333"/>
          <w:sz w:val="18"/>
          <w:szCs w:val="18"/>
          <w:lang w:val="en" w:eastAsia="en-GB"/>
        </w:rPr>
        <w:t>decellularising</w:t>
      </w:r>
      <w:proofErr w:type="spellEnd"/>
      <w:r w:rsidRPr="00F53C4A">
        <w:rPr>
          <w:rFonts w:ascii="Arial" w:eastAsia="Times New Roman" w:hAnsi="Arial" w:cs="Arial"/>
          <w:color w:val="333333"/>
          <w:sz w:val="18"/>
          <w:szCs w:val="18"/>
          <w:lang w:val="en" w:eastAsia="en-GB"/>
        </w:rPr>
        <w:t xml:space="preserve"> rat aortae and cultured for periods of up to 40 days. </w:t>
      </w:r>
    </w:p>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r w:rsidRPr="00F53C4A">
        <w:rPr>
          <w:rFonts w:ascii="Arial" w:eastAsia="Times New Roman" w:hAnsi="Arial" w:cs="Arial"/>
          <w:b/>
          <w:bCs/>
          <w:color w:val="333333"/>
          <w:sz w:val="18"/>
          <w:szCs w:val="18"/>
          <w:lang w:val="en" w:eastAsia="en-GB"/>
        </w:rPr>
        <w:t xml:space="preserve">Results: </w:t>
      </w:r>
      <w:r w:rsidRPr="00F53C4A">
        <w:rPr>
          <w:rFonts w:ascii="Arial" w:eastAsia="Times New Roman" w:hAnsi="Arial" w:cs="Arial"/>
          <w:color w:val="333333"/>
          <w:sz w:val="18"/>
          <w:szCs w:val="18"/>
          <w:lang w:val="en" w:eastAsia="en-GB"/>
        </w:rPr>
        <w:t>Clone 5 was found to be the optimal clone due to its ability to produce the anti-platelet hormone prostaglandin (PG) I</w:t>
      </w:r>
      <w:r w:rsidRPr="00F53C4A">
        <w:rPr>
          <w:rFonts w:ascii="Arial" w:eastAsia="Times New Roman" w:hAnsi="Arial" w:cs="Arial"/>
          <w:color w:val="333333"/>
          <w:sz w:val="15"/>
          <w:szCs w:val="15"/>
          <w:vertAlign w:val="subscript"/>
          <w:lang w:val="en" w:eastAsia="en-GB"/>
        </w:rPr>
        <w:t>2</w:t>
      </w:r>
      <w:r w:rsidRPr="00F53C4A">
        <w:rPr>
          <w:rFonts w:ascii="Arial" w:eastAsia="Times New Roman" w:hAnsi="Arial" w:cs="Arial"/>
          <w:color w:val="333333"/>
          <w:sz w:val="18"/>
          <w:szCs w:val="18"/>
          <w:lang w:val="en" w:eastAsia="en-GB"/>
        </w:rPr>
        <w:t xml:space="preserve"> and inhibit platelet activation. In experiments combining the synthetic vessels with platelets, a notable inhibition of platelet activation was seen with a reduction in platelet aggregation (72±4% to 31±9%) (Abstract 024 Figure 1), adhesion (43±2% to 19±6%) (Abstract 024 Figure 2), decreased production of thromboxane A</w:t>
      </w:r>
      <w:r w:rsidRPr="00F53C4A">
        <w:rPr>
          <w:rFonts w:ascii="Arial" w:eastAsia="Times New Roman" w:hAnsi="Arial" w:cs="Arial"/>
          <w:color w:val="333333"/>
          <w:sz w:val="15"/>
          <w:szCs w:val="15"/>
          <w:vertAlign w:val="subscript"/>
          <w:lang w:val="en" w:eastAsia="en-GB"/>
        </w:rPr>
        <w:t>2</w:t>
      </w:r>
      <w:r w:rsidRPr="00F53C4A">
        <w:rPr>
          <w:rFonts w:ascii="Arial" w:eastAsia="Times New Roman" w:hAnsi="Arial" w:cs="Arial"/>
          <w:color w:val="333333"/>
          <w:sz w:val="18"/>
          <w:szCs w:val="18"/>
          <w:lang w:val="en" w:eastAsia="en-GB"/>
        </w:rPr>
        <w:t xml:space="preserve"> (58±8 ng/ml to 31±3 ng/ml) and increased prostaglandin I</w:t>
      </w:r>
      <w:r w:rsidRPr="00F53C4A">
        <w:rPr>
          <w:rFonts w:ascii="Arial" w:eastAsia="Times New Roman" w:hAnsi="Arial" w:cs="Arial"/>
          <w:color w:val="333333"/>
          <w:sz w:val="15"/>
          <w:szCs w:val="15"/>
          <w:vertAlign w:val="subscript"/>
          <w:lang w:val="en" w:eastAsia="en-GB"/>
        </w:rPr>
        <w:t>2</w:t>
      </w:r>
      <w:r w:rsidRPr="00F53C4A">
        <w:rPr>
          <w:rFonts w:ascii="Arial" w:eastAsia="Times New Roman" w:hAnsi="Arial" w:cs="Arial"/>
          <w:color w:val="333333"/>
          <w:sz w:val="18"/>
          <w:szCs w:val="18"/>
          <w:lang w:val="en" w:eastAsia="en-GB"/>
        </w:rPr>
        <w:t xml:space="preserve"> production (0.6±0.5 ng/ml to 5.5±0.8 ng/ml), in response to collagen (3 µg/ml). </w:t>
      </w:r>
    </w:p>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p>
    <w:tbl>
      <w:tblPr>
        <w:tblW w:w="485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901"/>
      </w:tblGrid>
      <w:tr w:rsidR="00F53C4A" w:rsidRPr="00F53C4A" w:rsidTr="00F53C4A">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E0E0E0"/>
            <w:tcMar>
              <w:top w:w="60" w:type="dxa"/>
              <w:left w:w="0" w:type="dxa"/>
              <w:bottom w:w="0" w:type="dxa"/>
              <w:right w:w="60" w:type="dxa"/>
            </w:tcMar>
            <w:vAlign w:val="center"/>
            <w:hideMark/>
          </w:tcPr>
          <w:p w:rsidR="00F53C4A" w:rsidRPr="00F53C4A" w:rsidRDefault="00F53C4A" w:rsidP="00F53C4A">
            <w:pPr>
              <w:spacing w:after="0" w:line="336" w:lineRule="atLeast"/>
              <w:jc w:val="right"/>
              <w:rPr>
                <w:rFonts w:ascii="Arial" w:eastAsia="Times New Roman" w:hAnsi="Arial" w:cs="Arial"/>
                <w:color w:val="333333"/>
                <w:sz w:val="18"/>
                <w:szCs w:val="18"/>
                <w:lang w:eastAsia="en-GB"/>
              </w:rPr>
            </w:pPr>
            <w:bookmarkStart w:id="0" w:name="_GoBack"/>
            <w:bookmarkEnd w:id="0"/>
            <w:r>
              <w:rPr>
                <w:rFonts w:ascii="Arial" w:eastAsia="Times New Roman" w:hAnsi="Arial" w:cs="Arial"/>
                <w:noProof/>
                <w:color w:val="0066CC"/>
                <w:sz w:val="18"/>
                <w:szCs w:val="18"/>
                <w:lang w:eastAsia="en-GB"/>
              </w:rPr>
              <w:drawing>
                <wp:inline distT="0" distB="0" distL="0" distR="0">
                  <wp:extent cx="1895475" cy="1905000"/>
                  <wp:effectExtent l="0" t="0" r="9525" b="0"/>
                  <wp:docPr id="2" name="Picture 2" descr="Fig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905000"/>
                          </a:xfrm>
                          <a:prstGeom prst="rect">
                            <a:avLst/>
                          </a:prstGeom>
                          <a:noFill/>
                          <a:ln>
                            <a:noFill/>
                          </a:ln>
                        </pic:spPr>
                      </pic:pic>
                    </a:graphicData>
                  </a:graphic>
                </wp:inline>
              </w:drawing>
            </w:r>
            <w:r w:rsidRPr="00F53C4A">
              <w:rPr>
                <w:rFonts w:ascii="Arial" w:eastAsia="Times New Roman" w:hAnsi="Arial" w:cs="Arial"/>
                <w:color w:val="333333"/>
                <w:sz w:val="18"/>
                <w:szCs w:val="18"/>
                <w:lang w:eastAsia="en-GB"/>
              </w:rPr>
              <w:br/>
            </w:r>
            <w:r w:rsidRPr="00F53C4A">
              <w:rPr>
                <w:rFonts w:ascii="Arial" w:eastAsia="Times New Roman" w:hAnsi="Arial" w:cs="Arial"/>
                <w:b/>
                <w:bCs/>
                <w:color w:val="333333"/>
                <w:sz w:val="18"/>
                <w:szCs w:val="18"/>
                <w:lang w:eastAsia="en-GB"/>
              </w:rPr>
              <w:t>View larger version</w:t>
            </w:r>
            <w:r w:rsidRPr="00F53C4A">
              <w:rPr>
                <w:rFonts w:ascii="Arial" w:eastAsia="Times New Roman" w:hAnsi="Arial" w:cs="Arial"/>
                <w:color w:val="333333"/>
                <w:sz w:val="18"/>
                <w:szCs w:val="18"/>
                <w:lang w:eastAsia="en-GB"/>
              </w:rPr>
              <w:t xml:space="preserve"> (32K):</w:t>
            </w:r>
            <w:r w:rsidRPr="00F53C4A">
              <w:rPr>
                <w:rFonts w:ascii="Arial" w:eastAsia="Times New Roman" w:hAnsi="Arial" w:cs="Arial"/>
                <w:color w:val="333333"/>
                <w:sz w:val="18"/>
                <w:szCs w:val="18"/>
                <w:lang w:eastAsia="en-GB"/>
              </w:rPr>
              <w:br/>
            </w:r>
            <w:hyperlink r:id="rId7" w:history="1">
              <w:r w:rsidRPr="00F53C4A">
                <w:rPr>
                  <w:rFonts w:ascii="Arial" w:eastAsia="Times New Roman" w:hAnsi="Arial" w:cs="Arial"/>
                  <w:color w:val="0066CC"/>
                  <w:sz w:val="18"/>
                  <w:szCs w:val="18"/>
                  <w:lang w:eastAsia="en-GB"/>
                </w:rPr>
                <w:t>in this window</w:t>
              </w:r>
            </w:hyperlink>
            <w:hyperlink r:id="rId8" w:tgtFrame="_blank" w:tooltip="[opens in a new window]" w:history="1">
              <w:r w:rsidRPr="00F53C4A">
                <w:rPr>
                  <w:rFonts w:ascii="Arial" w:eastAsia="Times New Roman" w:hAnsi="Arial" w:cs="Arial"/>
                  <w:color w:val="0066CC"/>
                  <w:sz w:val="18"/>
                  <w:szCs w:val="18"/>
                  <w:lang w:eastAsia="en-GB"/>
                </w:rPr>
                <w:t>| in a new window</w:t>
              </w:r>
            </w:hyperlink>
            <w:r w:rsidRPr="00F53C4A">
              <w:rPr>
                <w:rFonts w:ascii="Arial" w:eastAsia="Times New Roman" w:hAnsi="Arial" w:cs="Arial"/>
                <w:color w:val="333333"/>
                <w:sz w:val="18"/>
                <w:szCs w:val="18"/>
                <w:lang w:eastAsia="en-GB"/>
              </w:rPr>
              <w:br/>
              <w:t xml:space="preserve">  </w:t>
            </w:r>
          </w:p>
          <w:p w:rsidR="00F53C4A" w:rsidRPr="00F53C4A" w:rsidRDefault="00F53C4A" w:rsidP="00F53C4A">
            <w:pPr>
              <w:pBdr>
                <w:top w:val="single" w:sz="6" w:space="3" w:color="666666"/>
              </w:pBdr>
              <w:shd w:val="clear" w:color="auto" w:fill="FFFFFF"/>
              <w:spacing w:after="0" w:line="336" w:lineRule="atLeast"/>
              <w:rPr>
                <w:rFonts w:ascii="Arial" w:eastAsia="Times New Roman" w:hAnsi="Arial" w:cs="Arial"/>
                <w:color w:val="333333"/>
                <w:sz w:val="18"/>
                <w:szCs w:val="18"/>
                <w:lang w:eastAsia="en-GB"/>
              </w:rPr>
            </w:pPr>
            <w:r w:rsidRPr="00F53C4A">
              <w:rPr>
                <w:rFonts w:ascii="Arial" w:eastAsia="Times New Roman" w:hAnsi="Arial" w:cs="Arial"/>
                <w:b/>
                <w:bCs/>
                <w:color w:val="333333"/>
                <w:sz w:val="18"/>
                <w:szCs w:val="18"/>
                <w:lang w:eastAsia="en-GB"/>
              </w:rPr>
              <w:t>Abstract 024 Figure 1</w:t>
            </w:r>
            <w:r w:rsidRPr="00F53C4A">
              <w:rPr>
                <w:rFonts w:ascii="Arial" w:eastAsia="Times New Roman" w:hAnsi="Arial" w:cs="Arial"/>
                <w:color w:val="333333"/>
                <w:sz w:val="18"/>
                <w:szCs w:val="18"/>
                <w:lang w:eastAsia="en-GB"/>
              </w:rPr>
              <w:t xml:space="preserve"> Platelet </w:t>
            </w:r>
            <w:proofErr w:type="gramStart"/>
            <w:r w:rsidRPr="00F53C4A">
              <w:rPr>
                <w:rFonts w:ascii="Arial" w:eastAsia="Times New Roman" w:hAnsi="Arial" w:cs="Arial"/>
                <w:color w:val="333333"/>
                <w:sz w:val="18"/>
                <w:szCs w:val="18"/>
                <w:lang w:eastAsia="en-GB"/>
              </w:rPr>
              <w:t>aggregation</w:t>
            </w:r>
            <w:proofErr w:type="gramEnd"/>
            <w:r w:rsidRPr="00F53C4A">
              <w:rPr>
                <w:rFonts w:ascii="Arial" w:eastAsia="Times New Roman" w:hAnsi="Arial" w:cs="Arial"/>
                <w:color w:val="333333"/>
                <w:sz w:val="18"/>
                <w:szCs w:val="18"/>
                <w:lang w:eastAsia="en-GB"/>
              </w:rPr>
              <w:t xml:space="preserve"> in response to collagen (3 µg/ml). </w:t>
            </w:r>
            <w:proofErr w:type="spellStart"/>
            <w:r w:rsidRPr="00F53C4A">
              <w:rPr>
                <w:rFonts w:ascii="Arial" w:eastAsia="Times New Roman" w:hAnsi="Arial" w:cs="Arial"/>
                <w:color w:val="333333"/>
                <w:sz w:val="18"/>
                <w:szCs w:val="18"/>
                <w:lang w:eastAsia="en-GB"/>
              </w:rPr>
              <w:t>Mean±SEM</w:t>
            </w:r>
            <w:proofErr w:type="spellEnd"/>
            <w:r w:rsidRPr="00F53C4A">
              <w:rPr>
                <w:rFonts w:ascii="Arial" w:eastAsia="Times New Roman" w:hAnsi="Arial" w:cs="Arial"/>
                <w:color w:val="333333"/>
                <w:sz w:val="18"/>
                <w:szCs w:val="18"/>
                <w:lang w:eastAsia="en-GB"/>
              </w:rPr>
              <w:t xml:space="preserve">. n=5. </w:t>
            </w:r>
          </w:p>
        </w:tc>
      </w:tr>
    </w:tbl>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r w:rsidRPr="00F53C4A">
        <w:rPr>
          <w:rFonts w:ascii="Arial" w:eastAsia="Times New Roman" w:hAnsi="Arial" w:cs="Arial"/>
          <w:color w:val="333333"/>
          <w:sz w:val="18"/>
          <w:szCs w:val="18"/>
          <w:lang w:val="en" w:eastAsia="en-GB"/>
        </w:rPr>
        <w:lastRenderedPageBreak/>
        <w:t xml:space="preserve">  </w:t>
      </w:r>
    </w:p>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bookmarkStart w:id="1" w:name="FIG2"/>
      <w:bookmarkEnd w:id="1"/>
    </w:p>
    <w:tbl>
      <w:tblPr>
        <w:tblW w:w="485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8901"/>
      </w:tblGrid>
      <w:tr w:rsidR="00F53C4A" w:rsidRPr="00F53C4A" w:rsidTr="00F53C4A">
        <w:trPr>
          <w:tblCellSpacing w:w="15" w:type="dxa"/>
        </w:trPr>
        <w:tc>
          <w:tcPr>
            <w:tcW w:w="0" w:type="auto"/>
            <w:tcBorders>
              <w:top w:val="single" w:sz="6" w:space="0" w:color="666666"/>
              <w:left w:val="single" w:sz="6" w:space="0" w:color="666666"/>
              <w:bottom w:val="single" w:sz="6" w:space="0" w:color="666666"/>
              <w:right w:val="single" w:sz="6" w:space="0" w:color="666666"/>
            </w:tcBorders>
            <w:shd w:val="clear" w:color="auto" w:fill="E0E0E0"/>
            <w:tcMar>
              <w:top w:w="60" w:type="dxa"/>
              <w:left w:w="0" w:type="dxa"/>
              <w:bottom w:w="0" w:type="dxa"/>
              <w:right w:w="60" w:type="dxa"/>
            </w:tcMar>
            <w:vAlign w:val="center"/>
            <w:hideMark/>
          </w:tcPr>
          <w:p w:rsidR="00F53C4A" w:rsidRPr="00F53C4A" w:rsidRDefault="00F53C4A" w:rsidP="00F53C4A">
            <w:pPr>
              <w:spacing w:after="0" w:line="336" w:lineRule="atLeast"/>
              <w:jc w:val="right"/>
              <w:rPr>
                <w:rFonts w:ascii="Arial" w:eastAsia="Times New Roman" w:hAnsi="Arial" w:cs="Arial"/>
                <w:color w:val="333333"/>
                <w:sz w:val="18"/>
                <w:szCs w:val="18"/>
                <w:lang w:eastAsia="en-GB"/>
              </w:rPr>
            </w:pPr>
            <w:r>
              <w:rPr>
                <w:rFonts w:ascii="Arial" w:eastAsia="Times New Roman" w:hAnsi="Arial" w:cs="Arial"/>
                <w:noProof/>
                <w:color w:val="0066CC"/>
                <w:sz w:val="18"/>
                <w:szCs w:val="18"/>
                <w:lang w:eastAsia="en-GB"/>
              </w:rPr>
              <w:drawing>
                <wp:inline distT="0" distB="0" distL="0" distR="0">
                  <wp:extent cx="1905000" cy="1790700"/>
                  <wp:effectExtent l="0" t="0" r="0" b="0"/>
                  <wp:docPr id="1" name="Picture 1" descr="Fig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790700"/>
                          </a:xfrm>
                          <a:prstGeom prst="rect">
                            <a:avLst/>
                          </a:prstGeom>
                          <a:noFill/>
                          <a:ln>
                            <a:noFill/>
                          </a:ln>
                        </pic:spPr>
                      </pic:pic>
                    </a:graphicData>
                  </a:graphic>
                </wp:inline>
              </w:drawing>
            </w:r>
            <w:r w:rsidRPr="00F53C4A">
              <w:rPr>
                <w:rFonts w:ascii="Arial" w:eastAsia="Times New Roman" w:hAnsi="Arial" w:cs="Arial"/>
                <w:color w:val="333333"/>
                <w:sz w:val="18"/>
                <w:szCs w:val="18"/>
                <w:lang w:eastAsia="en-GB"/>
              </w:rPr>
              <w:br/>
            </w:r>
            <w:r w:rsidRPr="00F53C4A">
              <w:rPr>
                <w:rFonts w:ascii="Arial" w:eastAsia="Times New Roman" w:hAnsi="Arial" w:cs="Arial"/>
                <w:b/>
                <w:bCs/>
                <w:color w:val="333333"/>
                <w:sz w:val="18"/>
                <w:szCs w:val="18"/>
                <w:lang w:eastAsia="en-GB"/>
              </w:rPr>
              <w:t>View larger version</w:t>
            </w:r>
            <w:r w:rsidRPr="00F53C4A">
              <w:rPr>
                <w:rFonts w:ascii="Arial" w:eastAsia="Times New Roman" w:hAnsi="Arial" w:cs="Arial"/>
                <w:color w:val="333333"/>
                <w:sz w:val="18"/>
                <w:szCs w:val="18"/>
                <w:lang w:eastAsia="en-GB"/>
              </w:rPr>
              <w:t xml:space="preserve"> (57K):</w:t>
            </w:r>
            <w:r w:rsidRPr="00F53C4A">
              <w:rPr>
                <w:rFonts w:ascii="Arial" w:eastAsia="Times New Roman" w:hAnsi="Arial" w:cs="Arial"/>
                <w:color w:val="333333"/>
                <w:sz w:val="18"/>
                <w:szCs w:val="18"/>
                <w:lang w:eastAsia="en-GB"/>
              </w:rPr>
              <w:br/>
            </w:r>
            <w:hyperlink r:id="rId11" w:history="1">
              <w:r w:rsidRPr="00F53C4A">
                <w:rPr>
                  <w:rFonts w:ascii="Arial" w:eastAsia="Times New Roman" w:hAnsi="Arial" w:cs="Arial"/>
                  <w:color w:val="0066CC"/>
                  <w:sz w:val="18"/>
                  <w:szCs w:val="18"/>
                  <w:lang w:eastAsia="en-GB"/>
                </w:rPr>
                <w:t>in this window</w:t>
              </w:r>
            </w:hyperlink>
            <w:hyperlink r:id="rId12" w:tgtFrame="_blank" w:tooltip="[opens in a new window]" w:history="1">
              <w:r w:rsidRPr="00F53C4A">
                <w:rPr>
                  <w:rFonts w:ascii="Arial" w:eastAsia="Times New Roman" w:hAnsi="Arial" w:cs="Arial"/>
                  <w:color w:val="0066CC"/>
                  <w:sz w:val="18"/>
                  <w:szCs w:val="18"/>
                  <w:lang w:eastAsia="en-GB"/>
                </w:rPr>
                <w:t>| in a new window</w:t>
              </w:r>
            </w:hyperlink>
            <w:r w:rsidRPr="00F53C4A">
              <w:rPr>
                <w:rFonts w:ascii="Arial" w:eastAsia="Times New Roman" w:hAnsi="Arial" w:cs="Arial"/>
                <w:color w:val="333333"/>
                <w:sz w:val="18"/>
                <w:szCs w:val="18"/>
                <w:lang w:eastAsia="en-GB"/>
              </w:rPr>
              <w:br/>
              <w:t xml:space="preserve">  </w:t>
            </w:r>
          </w:p>
          <w:p w:rsidR="00F53C4A" w:rsidRPr="00F53C4A" w:rsidRDefault="00F53C4A" w:rsidP="00F53C4A">
            <w:pPr>
              <w:pBdr>
                <w:top w:val="single" w:sz="6" w:space="3" w:color="666666"/>
              </w:pBdr>
              <w:shd w:val="clear" w:color="auto" w:fill="FFFFFF"/>
              <w:spacing w:after="0" w:line="336" w:lineRule="atLeast"/>
              <w:rPr>
                <w:rFonts w:ascii="Arial" w:eastAsia="Times New Roman" w:hAnsi="Arial" w:cs="Arial"/>
                <w:color w:val="333333"/>
                <w:sz w:val="18"/>
                <w:szCs w:val="18"/>
                <w:lang w:eastAsia="en-GB"/>
              </w:rPr>
            </w:pPr>
            <w:r w:rsidRPr="00F53C4A">
              <w:rPr>
                <w:rFonts w:ascii="Arial" w:eastAsia="Times New Roman" w:hAnsi="Arial" w:cs="Arial"/>
                <w:b/>
                <w:bCs/>
                <w:color w:val="333333"/>
                <w:sz w:val="18"/>
                <w:szCs w:val="18"/>
                <w:lang w:eastAsia="en-GB"/>
              </w:rPr>
              <w:t>Abstract 024 Figure 2</w:t>
            </w:r>
            <w:r w:rsidRPr="00F53C4A">
              <w:rPr>
                <w:rFonts w:ascii="Arial" w:eastAsia="Times New Roman" w:hAnsi="Arial" w:cs="Arial"/>
                <w:color w:val="333333"/>
                <w:sz w:val="18"/>
                <w:szCs w:val="18"/>
                <w:lang w:eastAsia="en-GB"/>
              </w:rPr>
              <w:t xml:space="preserve"> Platelet </w:t>
            </w:r>
            <w:proofErr w:type="gramStart"/>
            <w:r w:rsidRPr="00F53C4A">
              <w:rPr>
                <w:rFonts w:ascii="Arial" w:eastAsia="Times New Roman" w:hAnsi="Arial" w:cs="Arial"/>
                <w:color w:val="333333"/>
                <w:sz w:val="18"/>
                <w:szCs w:val="18"/>
                <w:lang w:eastAsia="en-GB"/>
              </w:rPr>
              <w:t>adhesion</w:t>
            </w:r>
            <w:proofErr w:type="gramEnd"/>
            <w:r w:rsidRPr="00F53C4A">
              <w:rPr>
                <w:rFonts w:ascii="Arial" w:eastAsia="Times New Roman" w:hAnsi="Arial" w:cs="Arial"/>
                <w:color w:val="333333"/>
                <w:sz w:val="18"/>
                <w:szCs w:val="18"/>
                <w:lang w:eastAsia="en-GB"/>
              </w:rPr>
              <w:t xml:space="preserve"> in response to collagen (3 µg/ml). </w:t>
            </w:r>
            <w:proofErr w:type="spellStart"/>
            <w:r w:rsidRPr="00F53C4A">
              <w:rPr>
                <w:rFonts w:ascii="Arial" w:eastAsia="Times New Roman" w:hAnsi="Arial" w:cs="Arial"/>
                <w:color w:val="333333"/>
                <w:sz w:val="18"/>
                <w:szCs w:val="18"/>
                <w:lang w:eastAsia="en-GB"/>
              </w:rPr>
              <w:t>Mean±SEM</w:t>
            </w:r>
            <w:proofErr w:type="spellEnd"/>
            <w:r w:rsidRPr="00F53C4A">
              <w:rPr>
                <w:rFonts w:ascii="Arial" w:eastAsia="Times New Roman" w:hAnsi="Arial" w:cs="Arial"/>
                <w:color w:val="333333"/>
                <w:sz w:val="18"/>
                <w:szCs w:val="18"/>
                <w:lang w:eastAsia="en-GB"/>
              </w:rPr>
              <w:t xml:space="preserve">. n=5. </w:t>
            </w:r>
          </w:p>
        </w:tc>
      </w:tr>
    </w:tbl>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r w:rsidRPr="00F53C4A">
        <w:rPr>
          <w:rFonts w:ascii="Arial" w:eastAsia="Times New Roman" w:hAnsi="Arial" w:cs="Arial"/>
          <w:color w:val="333333"/>
          <w:sz w:val="18"/>
          <w:szCs w:val="18"/>
          <w:lang w:val="en" w:eastAsia="en-GB"/>
        </w:rPr>
        <w:t xml:space="preserve">  </w:t>
      </w:r>
    </w:p>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r w:rsidRPr="00F53C4A">
        <w:rPr>
          <w:rFonts w:ascii="Arial" w:eastAsia="Times New Roman" w:hAnsi="Arial" w:cs="Arial"/>
          <w:b/>
          <w:bCs/>
          <w:color w:val="333333"/>
          <w:sz w:val="18"/>
          <w:szCs w:val="18"/>
          <w:lang w:val="en" w:eastAsia="en-GB"/>
        </w:rPr>
        <w:t xml:space="preserve">Conclusions: </w:t>
      </w:r>
      <w:r w:rsidRPr="00F53C4A">
        <w:rPr>
          <w:rFonts w:ascii="Arial" w:eastAsia="Times New Roman" w:hAnsi="Arial" w:cs="Arial"/>
          <w:color w:val="333333"/>
          <w:sz w:val="18"/>
          <w:szCs w:val="18"/>
          <w:lang w:val="en" w:eastAsia="en-GB"/>
        </w:rPr>
        <w:t xml:space="preserve">These results demonstrate that clonal VSMC populations with </w:t>
      </w:r>
      <w:proofErr w:type="spellStart"/>
      <w:r w:rsidRPr="00F53C4A">
        <w:rPr>
          <w:rFonts w:ascii="Arial" w:eastAsia="Times New Roman" w:hAnsi="Arial" w:cs="Arial"/>
          <w:color w:val="333333"/>
          <w:sz w:val="18"/>
          <w:szCs w:val="18"/>
          <w:lang w:val="en" w:eastAsia="en-GB"/>
        </w:rPr>
        <w:t>favourable</w:t>
      </w:r>
      <w:proofErr w:type="spellEnd"/>
      <w:r w:rsidRPr="00F53C4A">
        <w:rPr>
          <w:rFonts w:ascii="Arial" w:eastAsia="Times New Roman" w:hAnsi="Arial" w:cs="Arial"/>
          <w:color w:val="333333"/>
          <w:sz w:val="18"/>
          <w:szCs w:val="18"/>
          <w:lang w:val="en" w:eastAsia="en-GB"/>
        </w:rPr>
        <w:t xml:space="preserve"> characteristics, such as the production of anti-thrombotic PGI</w:t>
      </w:r>
      <w:r w:rsidRPr="00F53C4A">
        <w:rPr>
          <w:rFonts w:ascii="Arial" w:eastAsia="Times New Roman" w:hAnsi="Arial" w:cs="Arial"/>
          <w:color w:val="333333"/>
          <w:sz w:val="15"/>
          <w:szCs w:val="15"/>
          <w:vertAlign w:val="subscript"/>
          <w:lang w:val="en" w:eastAsia="en-GB"/>
        </w:rPr>
        <w:t>2</w:t>
      </w:r>
      <w:r w:rsidRPr="00F53C4A">
        <w:rPr>
          <w:rFonts w:ascii="Arial" w:eastAsia="Times New Roman" w:hAnsi="Arial" w:cs="Arial"/>
          <w:color w:val="333333"/>
          <w:sz w:val="18"/>
          <w:szCs w:val="18"/>
          <w:lang w:val="en" w:eastAsia="en-GB"/>
        </w:rPr>
        <w:t xml:space="preserve"> can be isolated and used to produce anti-thrombotic vessels. This raises the possibility of producing vessels for bypass surgery by the simple seeding of selected VSMC populations into inert vascular scaffolds. </w:t>
      </w:r>
    </w:p>
    <w:p w:rsidR="00F53C4A" w:rsidRPr="00F53C4A" w:rsidRDefault="00F53C4A" w:rsidP="00F53C4A">
      <w:pPr>
        <w:spacing w:before="30" w:after="225" w:line="336" w:lineRule="atLeast"/>
        <w:rPr>
          <w:rFonts w:ascii="Arial" w:eastAsia="Times New Roman" w:hAnsi="Arial" w:cs="Arial"/>
          <w:color w:val="333333"/>
          <w:sz w:val="18"/>
          <w:szCs w:val="18"/>
          <w:lang w:val="en" w:eastAsia="en-GB"/>
        </w:rPr>
      </w:pPr>
      <w:r w:rsidRPr="00F53C4A">
        <w:rPr>
          <w:rFonts w:ascii="Arial" w:eastAsia="Times New Roman" w:hAnsi="Arial" w:cs="Arial"/>
          <w:b/>
          <w:bCs/>
          <w:color w:val="333333"/>
          <w:sz w:val="18"/>
          <w:szCs w:val="18"/>
          <w:lang w:val="en" w:eastAsia="en-GB"/>
        </w:rPr>
        <w:t>Keywords:</w:t>
      </w:r>
      <w:r w:rsidRPr="00F53C4A">
        <w:rPr>
          <w:rFonts w:ascii="Arial" w:eastAsia="Times New Roman" w:hAnsi="Arial" w:cs="Arial"/>
          <w:color w:val="333333"/>
          <w:sz w:val="18"/>
          <w:szCs w:val="18"/>
          <w:lang w:val="en" w:eastAsia="en-GB"/>
        </w:rPr>
        <w:t xml:space="preserve"> anti-thrombotic; bypass; smooth muscle </w:t>
      </w:r>
    </w:p>
    <w:p w:rsidR="00FB50EA" w:rsidRDefault="00F53C4A"/>
    <w:sectPr w:rsidR="00FB5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4A"/>
    <w:rsid w:val="005162BD"/>
    <w:rsid w:val="008D00D4"/>
    <w:rsid w:val="009D42C8"/>
    <w:rsid w:val="00F53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5162BD"/>
    <w:pPr>
      <w:spacing w:line="240" w:lineRule="auto"/>
      <w:jc w:val="both"/>
    </w:pPr>
    <w:rPr>
      <w:rFonts w:ascii="Calibri" w:eastAsiaTheme="minorEastAsia" w:hAnsi="Calibri" w:cs="Calibri"/>
      <w:noProof/>
      <w:lang w:val="en-US" w:eastAsia="en-GB"/>
    </w:rPr>
  </w:style>
  <w:style w:type="character" w:customStyle="1" w:styleId="EndNoteBibliographyChar">
    <w:name w:val="EndNote Bibliography Char"/>
    <w:basedOn w:val="DefaultParagraphFont"/>
    <w:link w:val="EndNoteBibliography"/>
    <w:rsid w:val="005162BD"/>
    <w:rPr>
      <w:rFonts w:ascii="Calibri" w:eastAsiaTheme="minorEastAsia" w:hAnsi="Calibri" w:cs="Calibri"/>
      <w:noProof/>
      <w:lang w:val="en-US" w:eastAsia="en-GB"/>
    </w:rPr>
  </w:style>
  <w:style w:type="paragraph" w:customStyle="1" w:styleId="EndNoteBibliographyTitle">
    <w:name w:val="EndNote Bibliography Title"/>
    <w:basedOn w:val="Normal"/>
    <w:link w:val="EndNoteBibliographyTitleChar"/>
    <w:rsid w:val="005162BD"/>
    <w:pPr>
      <w:spacing w:after="0"/>
      <w:jc w:val="center"/>
    </w:pPr>
    <w:rPr>
      <w:rFonts w:ascii="Calibri" w:eastAsiaTheme="minorEastAsia" w:hAnsi="Calibri" w:cs="Calibri"/>
      <w:noProof/>
      <w:lang w:val="en-US" w:eastAsia="en-GB"/>
    </w:rPr>
  </w:style>
  <w:style w:type="character" w:customStyle="1" w:styleId="EndNoteBibliographyTitleChar">
    <w:name w:val="EndNote Bibliography Title Char"/>
    <w:basedOn w:val="DefaultParagraphFont"/>
    <w:link w:val="EndNoteBibliographyTitle"/>
    <w:rsid w:val="005162BD"/>
    <w:rPr>
      <w:rFonts w:ascii="Calibri" w:eastAsiaTheme="minorEastAsia" w:hAnsi="Calibri" w:cs="Calibri"/>
      <w:noProof/>
      <w:lang w:val="en-US" w:eastAsia="en-GB"/>
    </w:rPr>
  </w:style>
  <w:style w:type="character" w:styleId="Emphasis">
    <w:name w:val="Emphasis"/>
    <w:basedOn w:val="DefaultParagraphFont"/>
    <w:uiPriority w:val="20"/>
    <w:qFormat/>
    <w:rsid w:val="00F53C4A"/>
    <w:rPr>
      <w:i/>
      <w:iCs/>
    </w:rPr>
  </w:style>
  <w:style w:type="character" w:styleId="Strong">
    <w:name w:val="Strong"/>
    <w:basedOn w:val="DefaultParagraphFont"/>
    <w:uiPriority w:val="22"/>
    <w:qFormat/>
    <w:rsid w:val="00F53C4A"/>
    <w:rPr>
      <w:b/>
      <w:bCs/>
    </w:rPr>
  </w:style>
  <w:style w:type="paragraph" w:customStyle="1" w:styleId="authorgroup1">
    <w:name w:val="author_group1"/>
    <w:basedOn w:val="Normal"/>
    <w:rsid w:val="00F53C4A"/>
    <w:pPr>
      <w:spacing w:before="30" w:after="225" w:line="336" w:lineRule="atLeast"/>
    </w:pPr>
    <w:rPr>
      <w:rFonts w:ascii="Arial" w:eastAsia="Times New Roman" w:hAnsi="Arial" w:cs="Arial"/>
      <w:sz w:val="29"/>
      <w:szCs w:val="29"/>
      <w:lang w:eastAsia="en-GB"/>
    </w:rPr>
  </w:style>
  <w:style w:type="paragraph" w:customStyle="1" w:styleId="caption2">
    <w:name w:val="caption2"/>
    <w:basedOn w:val="Normal"/>
    <w:rsid w:val="00F53C4A"/>
    <w:pPr>
      <w:pBdr>
        <w:top w:val="single" w:sz="6" w:space="3" w:color="666666"/>
      </w:pBdr>
      <w:shd w:val="clear" w:color="auto" w:fill="FFFFFF"/>
      <w:spacing w:after="0" w:line="336" w:lineRule="atLeast"/>
    </w:pPr>
    <w:rPr>
      <w:rFonts w:ascii="Arial" w:eastAsia="Times New Roman" w:hAnsi="Arial" w:cs="Arial"/>
      <w:sz w:val="18"/>
      <w:szCs w:val="18"/>
      <w:lang w:eastAsia="en-GB"/>
    </w:rPr>
  </w:style>
  <w:style w:type="paragraph" w:styleId="BalloonText">
    <w:name w:val="Balloon Text"/>
    <w:basedOn w:val="Normal"/>
    <w:link w:val="BalloonTextChar"/>
    <w:uiPriority w:val="99"/>
    <w:semiHidden/>
    <w:unhideWhenUsed/>
    <w:rsid w:val="00F5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5162BD"/>
    <w:pPr>
      <w:spacing w:line="240" w:lineRule="auto"/>
      <w:jc w:val="both"/>
    </w:pPr>
    <w:rPr>
      <w:rFonts w:ascii="Calibri" w:eastAsiaTheme="minorEastAsia" w:hAnsi="Calibri" w:cs="Calibri"/>
      <w:noProof/>
      <w:lang w:val="en-US" w:eastAsia="en-GB"/>
    </w:rPr>
  </w:style>
  <w:style w:type="character" w:customStyle="1" w:styleId="EndNoteBibliographyChar">
    <w:name w:val="EndNote Bibliography Char"/>
    <w:basedOn w:val="DefaultParagraphFont"/>
    <w:link w:val="EndNoteBibliography"/>
    <w:rsid w:val="005162BD"/>
    <w:rPr>
      <w:rFonts w:ascii="Calibri" w:eastAsiaTheme="minorEastAsia" w:hAnsi="Calibri" w:cs="Calibri"/>
      <w:noProof/>
      <w:lang w:val="en-US" w:eastAsia="en-GB"/>
    </w:rPr>
  </w:style>
  <w:style w:type="paragraph" w:customStyle="1" w:styleId="EndNoteBibliographyTitle">
    <w:name w:val="EndNote Bibliography Title"/>
    <w:basedOn w:val="Normal"/>
    <w:link w:val="EndNoteBibliographyTitleChar"/>
    <w:rsid w:val="005162BD"/>
    <w:pPr>
      <w:spacing w:after="0"/>
      <w:jc w:val="center"/>
    </w:pPr>
    <w:rPr>
      <w:rFonts w:ascii="Calibri" w:eastAsiaTheme="minorEastAsia" w:hAnsi="Calibri" w:cs="Calibri"/>
      <w:noProof/>
      <w:lang w:val="en-US" w:eastAsia="en-GB"/>
    </w:rPr>
  </w:style>
  <w:style w:type="character" w:customStyle="1" w:styleId="EndNoteBibliographyTitleChar">
    <w:name w:val="EndNote Bibliography Title Char"/>
    <w:basedOn w:val="DefaultParagraphFont"/>
    <w:link w:val="EndNoteBibliographyTitle"/>
    <w:rsid w:val="005162BD"/>
    <w:rPr>
      <w:rFonts w:ascii="Calibri" w:eastAsiaTheme="minorEastAsia" w:hAnsi="Calibri" w:cs="Calibri"/>
      <w:noProof/>
      <w:lang w:val="en-US" w:eastAsia="en-GB"/>
    </w:rPr>
  </w:style>
  <w:style w:type="character" w:styleId="Emphasis">
    <w:name w:val="Emphasis"/>
    <w:basedOn w:val="DefaultParagraphFont"/>
    <w:uiPriority w:val="20"/>
    <w:qFormat/>
    <w:rsid w:val="00F53C4A"/>
    <w:rPr>
      <w:i/>
      <w:iCs/>
    </w:rPr>
  </w:style>
  <w:style w:type="character" w:styleId="Strong">
    <w:name w:val="Strong"/>
    <w:basedOn w:val="DefaultParagraphFont"/>
    <w:uiPriority w:val="22"/>
    <w:qFormat/>
    <w:rsid w:val="00F53C4A"/>
    <w:rPr>
      <w:b/>
      <w:bCs/>
    </w:rPr>
  </w:style>
  <w:style w:type="paragraph" w:customStyle="1" w:styleId="authorgroup1">
    <w:name w:val="author_group1"/>
    <w:basedOn w:val="Normal"/>
    <w:rsid w:val="00F53C4A"/>
    <w:pPr>
      <w:spacing w:before="30" w:after="225" w:line="336" w:lineRule="atLeast"/>
    </w:pPr>
    <w:rPr>
      <w:rFonts w:ascii="Arial" w:eastAsia="Times New Roman" w:hAnsi="Arial" w:cs="Arial"/>
      <w:sz w:val="29"/>
      <w:szCs w:val="29"/>
      <w:lang w:eastAsia="en-GB"/>
    </w:rPr>
  </w:style>
  <w:style w:type="paragraph" w:customStyle="1" w:styleId="caption2">
    <w:name w:val="caption2"/>
    <w:basedOn w:val="Normal"/>
    <w:rsid w:val="00F53C4A"/>
    <w:pPr>
      <w:pBdr>
        <w:top w:val="single" w:sz="6" w:space="3" w:color="666666"/>
      </w:pBdr>
      <w:shd w:val="clear" w:color="auto" w:fill="FFFFFF"/>
      <w:spacing w:after="0" w:line="336" w:lineRule="atLeast"/>
    </w:pPr>
    <w:rPr>
      <w:rFonts w:ascii="Arial" w:eastAsia="Times New Roman" w:hAnsi="Arial" w:cs="Arial"/>
      <w:sz w:val="18"/>
      <w:szCs w:val="18"/>
      <w:lang w:eastAsia="en-GB"/>
    </w:rPr>
  </w:style>
  <w:style w:type="paragraph" w:styleId="BalloonText">
    <w:name w:val="Balloon Text"/>
    <w:basedOn w:val="Normal"/>
    <w:link w:val="BalloonTextChar"/>
    <w:uiPriority w:val="99"/>
    <w:semiHidden/>
    <w:unhideWhenUsed/>
    <w:rsid w:val="00F5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1873">
      <w:bodyDiv w:val="1"/>
      <w:marLeft w:val="0"/>
      <w:marRight w:val="0"/>
      <w:marTop w:val="0"/>
      <w:marBottom w:val="0"/>
      <w:divBdr>
        <w:top w:val="none" w:sz="0" w:space="0" w:color="auto"/>
        <w:left w:val="none" w:sz="0" w:space="0" w:color="auto"/>
        <w:bottom w:val="none" w:sz="0" w:space="0" w:color="auto"/>
        <w:right w:val="none" w:sz="0" w:space="0" w:color="auto"/>
      </w:divBdr>
      <w:divsChild>
        <w:div w:id="2118523234">
          <w:marLeft w:val="0"/>
          <w:marRight w:val="0"/>
          <w:marTop w:val="0"/>
          <w:marBottom w:val="0"/>
          <w:divBdr>
            <w:top w:val="none" w:sz="0" w:space="0" w:color="auto"/>
            <w:left w:val="none" w:sz="0" w:space="0" w:color="auto"/>
            <w:bottom w:val="none" w:sz="0" w:space="0" w:color="auto"/>
            <w:right w:val="none" w:sz="0" w:space="0" w:color="auto"/>
          </w:divBdr>
          <w:divsChild>
            <w:div w:id="691496964">
              <w:marLeft w:val="0"/>
              <w:marRight w:val="0"/>
              <w:marTop w:val="0"/>
              <w:marBottom w:val="0"/>
              <w:divBdr>
                <w:top w:val="none" w:sz="0" w:space="0" w:color="auto"/>
                <w:left w:val="none" w:sz="0" w:space="0" w:color="auto"/>
                <w:bottom w:val="none" w:sz="0" w:space="0" w:color="auto"/>
                <w:right w:val="none" w:sz="0" w:space="0" w:color="auto"/>
              </w:divBdr>
              <w:divsChild>
                <w:div w:id="1612741862">
                  <w:marLeft w:val="0"/>
                  <w:marRight w:val="0"/>
                  <w:marTop w:val="0"/>
                  <w:marBottom w:val="0"/>
                  <w:divBdr>
                    <w:top w:val="none" w:sz="0" w:space="0" w:color="auto"/>
                    <w:left w:val="none" w:sz="0" w:space="0" w:color="auto"/>
                    <w:bottom w:val="none" w:sz="0" w:space="0" w:color="auto"/>
                    <w:right w:val="none" w:sz="0" w:space="0" w:color="auto"/>
                  </w:divBdr>
                  <w:divsChild>
                    <w:div w:id="584385685">
                      <w:marLeft w:val="0"/>
                      <w:marRight w:val="0"/>
                      <w:marTop w:val="0"/>
                      <w:marBottom w:val="0"/>
                      <w:divBdr>
                        <w:top w:val="none" w:sz="0" w:space="0" w:color="auto"/>
                        <w:left w:val="none" w:sz="0" w:space="0" w:color="auto"/>
                        <w:bottom w:val="none" w:sz="0" w:space="0" w:color="auto"/>
                        <w:right w:val="none" w:sz="0" w:space="0" w:color="auto"/>
                      </w:divBdr>
                      <w:divsChild>
                        <w:div w:id="1418484096">
                          <w:marLeft w:val="150"/>
                          <w:marRight w:val="0"/>
                          <w:marTop w:val="0"/>
                          <w:marBottom w:val="150"/>
                          <w:divBdr>
                            <w:top w:val="none" w:sz="0" w:space="0" w:color="auto"/>
                            <w:left w:val="none" w:sz="0" w:space="0" w:color="auto"/>
                            <w:bottom w:val="none" w:sz="0" w:space="0" w:color="auto"/>
                            <w:right w:val="none" w:sz="0" w:space="0" w:color="auto"/>
                          </w:divBdr>
                          <w:divsChild>
                            <w:div w:id="424037727">
                              <w:marLeft w:val="0"/>
                              <w:marRight w:val="0"/>
                              <w:marTop w:val="0"/>
                              <w:marBottom w:val="0"/>
                              <w:divBdr>
                                <w:top w:val="none" w:sz="0" w:space="0" w:color="auto"/>
                                <w:left w:val="none" w:sz="0" w:space="0" w:color="auto"/>
                                <w:bottom w:val="none" w:sz="0" w:space="0" w:color="auto"/>
                                <w:right w:val="none" w:sz="0" w:space="0" w:color="auto"/>
                              </w:divBdr>
                              <w:divsChild>
                                <w:div w:id="1198275465">
                                  <w:marLeft w:val="0"/>
                                  <w:marRight w:val="0"/>
                                  <w:marTop w:val="0"/>
                                  <w:marBottom w:val="0"/>
                                  <w:divBdr>
                                    <w:top w:val="none" w:sz="0" w:space="0" w:color="auto"/>
                                    <w:left w:val="none" w:sz="0" w:space="0" w:color="auto"/>
                                    <w:bottom w:val="none" w:sz="0" w:space="0" w:color="auto"/>
                                    <w:right w:val="none" w:sz="0" w:space="0" w:color="auto"/>
                                  </w:divBdr>
                                  <w:divsChild>
                                    <w:div w:id="1169980416">
                                      <w:marLeft w:val="0"/>
                                      <w:marRight w:val="0"/>
                                      <w:marTop w:val="0"/>
                                      <w:marBottom w:val="0"/>
                                      <w:divBdr>
                                        <w:top w:val="none" w:sz="0" w:space="0" w:color="auto"/>
                                        <w:left w:val="none" w:sz="0" w:space="0" w:color="auto"/>
                                        <w:bottom w:val="none" w:sz="0" w:space="0" w:color="auto"/>
                                        <w:right w:val="none" w:sz="0" w:space="0" w:color="auto"/>
                                      </w:divBdr>
                                      <w:divsChild>
                                        <w:div w:id="19153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723215">
      <w:bodyDiv w:val="1"/>
      <w:marLeft w:val="0"/>
      <w:marRight w:val="0"/>
      <w:marTop w:val="0"/>
      <w:marBottom w:val="0"/>
      <w:divBdr>
        <w:top w:val="none" w:sz="0" w:space="0" w:color="auto"/>
        <w:left w:val="none" w:sz="0" w:space="0" w:color="auto"/>
        <w:bottom w:val="none" w:sz="0" w:space="0" w:color="auto"/>
        <w:right w:val="none" w:sz="0" w:space="0" w:color="auto"/>
      </w:divBdr>
      <w:divsChild>
        <w:div w:id="1036585246">
          <w:marLeft w:val="0"/>
          <w:marRight w:val="0"/>
          <w:marTop w:val="0"/>
          <w:marBottom w:val="0"/>
          <w:divBdr>
            <w:top w:val="none" w:sz="0" w:space="0" w:color="auto"/>
            <w:left w:val="none" w:sz="0" w:space="0" w:color="auto"/>
            <w:bottom w:val="none" w:sz="0" w:space="0" w:color="auto"/>
            <w:right w:val="none" w:sz="0" w:space="0" w:color="auto"/>
          </w:divBdr>
          <w:divsChild>
            <w:div w:id="1362513273">
              <w:marLeft w:val="0"/>
              <w:marRight w:val="0"/>
              <w:marTop w:val="0"/>
              <w:marBottom w:val="0"/>
              <w:divBdr>
                <w:top w:val="none" w:sz="0" w:space="0" w:color="auto"/>
                <w:left w:val="none" w:sz="0" w:space="0" w:color="auto"/>
                <w:bottom w:val="none" w:sz="0" w:space="0" w:color="auto"/>
                <w:right w:val="none" w:sz="0" w:space="0" w:color="auto"/>
              </w:divBdr>
              <w:divsChild>
                <w:div w:id="1554540266">
                  <w:marLeft w:val="0"/>
                  <w:marRight w:val="0"/>
                  <w:marTop w:val="0"/>
                  <w:marBottom w:val="0"/>
                  <w:divBdr>
                    <w:top w:val="none" w:sz="0" w:space="0" w:color="auto"/>
                    <w:left w:val="none" w:sz="0" w:space="0" w:color="auto"/>
                    <w:bottom w:val="none" w:sz="0" w:space="0" w:color="auto"/>
                    <w:right w:val="none" w:sz="0" w:space="0" w:color="auto"/>
                  </w:divBdr>
                  <w:divsChild>
                    <w:div w:id="125978188">
                      <w:marLeft w:val="0"/>
                      <w:marRight w:val="0"/>
                      <w:marTop w:val="0"/>
                      <w:marBottom w:val="0"/>
                      <w:divBdr>
                        <w:top w:val="none" w:sz="0" w:space="0" w:color="auto"/>
                        <w:left w:val="none" w:sz="0" w:space="0" w:color="auto"/>
                        <w:bottom w:val="none" w:sz="0" w:space="0" w:color="auto"/>
                        <w:right w:val="none" w:sz="0" w:space="0" w:color="auto"/>
                      </w:divBdr>
                      <w:divsChild>
                        <w:div w:id="864564158">
                          <w:marLeft w:val="150"/>
                          <w:marRight w:val="0"/>
                          <w:marTop w:val="0"/>
                          <w:marBottom w:val="150"/>
                          <w:divBdr>
                            <w:top w:val="none" w:sz="0" w:space="0" w:color="auto"/>
                            <w:left w:val="none" w:sz="0" w:space="0" w:color="auto"/>
                            <w:bottom w:val="none" w:sz="0" w:space="0" w:color="auto"/>
                            <w:right w:val="none" w:sz="0" w:space="0" w:color="auto"/>
                          </w:divBdr>
                          <w:divsChild>
                            <w:div w:id="263729667">
                              <w:marLeft w:val="0"/>
                              <w:marRight w:val="0"/>
                              <w:marTop w:val="0"/>
                              <w:marBottom w:val="0"/>
                              <w:divBdr>
                                <w:top w:val="none" w:sz="0" w:space="0" w:color="auto"/>
                                <w:left w:val="none" w:sz="0" w:space="0" w:color="auto"/>
                                <w:bottom w:val="none" w:sz="0" w:space="0" w:color="auto"/>
                                <w:right w:val="none" w:sz="0" w:space="0" w:color="auto"/>
                              </w:divBdr>
                              <w:divsChild>
                                <w:div w:id="617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rt.bmj.com/cgi/content/full/96/1_MeetingAbstracts/A16/FIG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rt.bmj.com/cgi/content/full/96/1_MeetingAbstracts/A16/FIG1" TargetMode="External"/><Relationship Id="rId12" Type="http://schemas.openxmlformats.org/officeDocument/2006/relationships/hyperlink" Target="http://heart.bmj.com/cgi/content/full/96/1_MeetingAbstracts/A16/FIG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heart.bmj.com/cgi/content/full/96/1_MeetingAbstracts/A16/FIG2" TargetMode="External"/><Relationship Id="rId5" Type="http://schemas.openxmlformats.org/officeDocument/2006/relationships/hyperlink" Target="http://heart.bmj.com/cgi/content/full/96/1_MeetingAbstracts/A16/FIG1"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heart.bmj.com/cgi/content/full/96/1_MeetingAbstracts/A16/FIG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hhwin7setup</dc:creator>
  <cp:lastModifiedBy>hhwin7setup</cp:lastModifiedBy>
  <cp:revision>1</cp:revision>
  <dcterms:created xsi:type="dcterms:W3CDTF">2015-02-19T09:28:00Z</dcterms:created>
  <dcterms:modified xsi:type="dcterms:W3CDTF">2015-02-19T09:29:00Z</dcterms:modified>
</cp:coreProperties>
</file>